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30634ad7c4a6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893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DRŽAVNI ARHIV U ZAGREBU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2.555.754,63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3.703.485,14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2.434.657,32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2.416.979,03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121.097,31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1.286.506,11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1062,4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85.612,03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19.984,70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85.612,03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19.984,70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35.485,28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1.266.521,41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3569,1</w:t>
            </w:r>
          </w:p>
        </w:tc>
      </w:tr>
    </w:tbl>
    <w:p>
      <w:pPr>
        <w:spacing w:before="0" w:after="0"/>
      </w:pPr>
    </w:p>
    <w:p>
      <w:r>
        <w:t xml:space="preserve">Višak prihoda poslovanja ( šifra X001 ) je rezultat doznake Avansa za sredstva programa NPOO -temeljem  prijenosa nepovratnih  sredstava EU za 2.fazu Cjelovite energetske obnove zgrade Arhiva. Također, doznačena su sredstva  za taj program koja su utrošena u prethodnom razdoblju a bila su neophodna za početak 2.faze Cjelovite obnove.</w:t>
      </w:r>
    </w:p>
    <w:p>
      <w:r>
        <w:t xml:space="preserve">Manjak nefinancijske imovine pokriven je  obveznom korekcijom rezultata jer su ta sredstva doznačena za programsku djelatnost 2025. - informatizacija.</w:t>
      </w:r>
    </w:p>
    <w:p>
      <w:r>
        <w:t xml:space="preserve">Višak prihoda i primitaka  sastoji se od  preostalih sredstava doznačenih Avansom za  Cjelovitu energetsku obnovu , te dio ostvarenih  vlastitih prihoda/ sredstava.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2.555.754,63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3.703.485,14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</w:tbl>
    <w:p>
      <w:pPr>
        <w:spacing w:before="0" w:after="0"/>
      </w:pPr>
    </w:p>
    <w:p>
      <w:r>
        <w:t xml:space="preserve">Prihodi su veći  50% u odnosu na prethodnu godinu jer je u 2025.g. započela 2.faza Cjelovita energetska  obnova zgrade Arhiva, te su doznačena sredstva Avansa - kapitalni prijenosi sredstva između proračunskih korisnika istog proračuna temeljem prijenosa EU sredstava - program NPOO - Cjelovita energetska obnova zgrade Arhiva nakon potresa.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1.003.343,27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2.033.482,12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202,7</w:t>
            </w:r>
          </w:p>
        </w:tc>
      </w:tr>
    </w:tbl>
    <w:p>
      <w:pPr>
        <w:spacing w:before="0" w:after="0"/>
      </w:pPr>
    </w:p>
    <w:p>
      <w:r>
        <w:t xml:space="preserve">Doznačena su sredstva Avansa za 2. fazu Cjelovite energetske obnove zgrade Arhiva -  program NPOO - temeljem prijenosa nepovratnih 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975.393,75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2.033.482,12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208,5</w:t>
            </w:r>
          </w:p>
        </w:tc>
      </w:tr>
    </w:tbl>
    <w:p>
      <w:pPr>
        <w:spacing w:before="0" w:after="0"/>
      </w:pPr>
    </w:p>
    <w:p>
      <w:r>
        <w:t xml:space="preserve">Povećanje od 100 % doznačenih sredstava u 2025. u odnosu na 2024. jer je u 2024. završila 1.faza obnove a u 2025. započela 2.faza Cjelovite energetske obnove te su doznačena  sredstva u većem iznosu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975.393,75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Doznačena sredstva programa NPOO za završetak 1.faze cjelovita konstrukcijska obnova zgrade Arhiva --- knjižila se u 2024.g. na konto 6392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2.033.482,12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Doznačena su sredstva Avansa za 2. fazu Cjelovite energetske obnove zgrade Arhiva -  program NPOO - temeljem prijenosa nepovratnih  EU sredstava.</w:t>
      </w:r>
    </w:p>
    <w:p>
      <w:r>
        <w:t xml:space="preserve">Knjižila su se prema uputstvu na konto 6394 - kapitalni prijenosi između proračunskih korisnika istog proračuna temeljem prijenosa EU nepovratnih sredstava - program NPOO.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Manji postotak povećanja u odnosu na prethodnu godinu odnosi se na povećanje kamata na veći iznos sredstava na računu po viđenju, kroz promatranu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financijske imovine (šifre 6412 do 6419)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Manji postotak povećanja u odnosu na prethodnu godinu odnosi se na povećanje kamata na veći iznos sredstava na računu po viđenju, kroz promatranu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Kamate na oročena sredstva i depozite po viđenju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107,9</w:t>
            </w:r>
          </w:p>
        </w:tc>
      </w:tr>
    </w:tbl>
    <w:p>
      <w:pPr>
        <w:spacing w:before="0" w:after="0"/>
      </w:pPr>
    </w:p>
    <w:p>
      <w:r>
        <w:t xml:space="preserve">Manji postotak povećanja u odnosu na prethodnu godinu odnosi se na povećanje kamata na veći iznos sredstava na računu po viđenju, kroz promatranu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</w:t>
            </w:r>
          </w:p>
        </w:tc>
      </w:tr>
    </w:tbl>
    <w:p>
      <w:pPr>
        <w:spacing w:before="0" w:after="0"/>
      </w:pPr>
    </w:p>
    <w:p>
      <w:r>
        <w:t xml:space="preserve">Prihodi su manji od 2024.g. za 40-tak %, a sastoje se od jednog jamstva  ponuđača za ozbiljnost ponude vezano za projekt 2.faze Cjelovite energetske obnove zgrade Arhiva (4.800,00 eura ), ; povrat sredstava od dobavljača  uredskog materijala i kamata na sredstva po viđenju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</w:t>
            </w:r>
          </w:p>
        </w:tc>
      </w:tr>
    </w:tbl>
    <w:p>
      <w:pPr>
        <w:spacing w:before="0" w:after="0"/>
      </w:pPr>
    </w:p>
    <w:p>
      <w:r>
        <w:t xml:space="preserve">Prihodi su manji od 2024.g. za 40-tak %, a sastoje se od jednog jamstva  ponuđača za ozbiljnost ponude vezano za projekt 2.faze Cjelovite energetske obnove zgrade Arhiva (4.800,00 eura ), ; povrat sredstava od dobavljača  uredskog materijala i kamata na sredstva po viđenju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4.927,20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61,6</w:t>
            </w:r>
          </w:p>
        </w:tc>
      </w:tr>
    </w:tbl>
    <w:p>
      <w:pPr>
        <w:spacing w:before="0" w:after="0"/>
      </w:pPr>
    </w:p>
    <w:p>
      <w:r>
        <w:t xml:space="preserve">Prihodi su manji od 2024.g. za 40-tak %, a sastoje se od jednog jamstva  ponuđača za ozbiljnost ponude vezano za projekt 2.faze Cjelovite energetske obnove zgrade Arhiva (4.800,00 eura ), ; povrat sredstava od dobavljača  uredskog materijala i kamata na sredstva po viđenju na žiro računu.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88.029,03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49.438,02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56,2</w:t>
            </w:r>
          </w:p>
        </w:tc>
      </w:tr>
    </w:tbl>
    <w:p>
      <w:pPr>
        <w:spacing w:before="0" w:after="0"/>
      </w:pPr>
    </w:p>
    <w:p>
      <w:r>
        <w:t xml:space="preserve">U 2025.g. nije bilo donacija nefinancijske imovine.</w:t>
      </w:r>
    </w:p>
    <w:p>
      <w:r>
        <w:t xml:space="preserve">Ostvareni su samo  vlastiti prihodi /sredstva od obavljanja poslova/ usluga  vlastite djelatnosti.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53.466,53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49.438,02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</w:tbl>
    <w:p>
      <w:pPr>
        <w:spacing w:before="0" w:after="0"/>
      </w:pPr>
    </w:p>
    <w:p>
      <w:r>
        <w:t xml:space="preserve">Prihodi od pruženih usluga su manji za 7 % u odnosu na prethodnu godinu , a što ovisi direktno o strukturi traženih usluga od strane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53.466,53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49.438,02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92,5</w:t>
            </w:r>
          </w:p>
        </w:tc>
      </w:tr>
    </w:tbl>
    <w:p>
      <w:pPr>
        <w:spacing w:before="0" w:after="0"/>
      </w:pPr>
    </w:p>
    <w:p>
      <w:r>
        <w:t xml:space="preserve">Prihodi od pruženih usluga su manji za 7 % u odnosu na prethodnu godinu , a što ovisi direktno o strukturi traženih usluga od strane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2025.g. nije bilo donacija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2025.g. nije bilo donacija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1.456.363,14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1.615.617,10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Ukupni prihodi povećani su 10 % u odnosu na 2024.g. a  rezultat  su povećanja sredstava za isplatu plaća i ostalih materijalnih prava kao i povećanje doznačenih sredstava za programsku djelatnost 2025 za informatizaciju,zbog sve većeg ulaganja u informatizaciju i digitalizaciju poslovnih procesa što unaprijeđuje poslovanje i pružanje  boljih usluga korisnicima. Sredstva su doznačena za programsku djelatnost 2025 za informatizaciju.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1.456.363,14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1.615.617,10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110,9</w:t>
            </w:r>
          </w:p>
        </w:tc>
      </w:tr>
    </w:tbl>
    <w:p>
      <w:pPr>
        <w:spacing w:before="0" w:after="0"/>
      </w:pPr>
    </w:p>
    <w:p>
      <w:r>
        <w:t xml:space="preserve">Ukupni prihodi povećani su 10 % u odnosu na 2024.g. a  rezultat  su povećanja sredstava za isplatu plaća i ostalih materijalnih prava kao i povećanje doznačenih sredstava za programsku djelatnost 2025 za informatizaciju,zbog sve većeg ulaganja u informatizaciju i digitalizaciju poslovnih procesa što unaprijeđuje poslovanje i pružanje  boljih usluga korisnicima. Sredstva su doznačena za programsku djelatnost 2025 za informatizaciju.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1.441.363,14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1.596.093,10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110,7</w:t>
            </w:r>
          </w:p>
        </w:tc>
      </w:tr>
    </w:tbl>
    <w:p>
      <w:pPr>
        <w:spacing w:before="0" w:after="0"/>
      </w:pPr>
    </w:p>
    <w:p>
      <w:r>
        <w:t xml:space="preserve">Ukupni prihodi povećani su 10 % u odnosu na 2024.g. a  rezultat  su povećanja sredstava za isplatu plaća i ostalih materijalnih prava kao i povećanje doznačenih sredstava za programsku djelatnost 2025 za informatizaciju,zbog sve većeg ulaganja u informatizaciju i digitalizaciju poslovnih procesa što unaprijeđuje poslovanje i pružanje  boljih usluga korisnicima. Sredstva su doznačena za programsku djelatnost 2025 za informatizaciju.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19.524,00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</w:tbl>
    <w:p>
      <w:pPr>
        <w:spacing w:before="0" w:after="0"/>
      </w:pPr>
    </w:p>
    <w:p>
      <w:r>
        <w:t xml:space="preserve">Prihodi su povećani zbog sve većeg ulaganja u informatizaciju i digitalizaciju poslovnih procesa što unaprijeđuje poslovanje i pružanje  boljih usluga korisnicima. Sredstva su doznačena za programsku djelatnost 2025 za informatizaciju.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2.434.657,32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2.416.979,03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99,3</w:t>
            </w:r>
          </w:p>
        </w:tc>
      </w:tr>
    </w:tbl>
    <w:p>
      <w:pPr>
        <w:spacing w:before="0" w:after="0"/>
      </w:pPr>
    </w:p>
    <w:p>
      <w:r>
        <w:t xml:space="preserve">Ukupni rashodi su  skoro isti  kao i prethodne godine -- iznivelirani troškovi po kontima.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1.078.678,44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1.300.096,74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 </w:t>
      </w:r>
    </w:p>
    <w:p>
      <w:r>
        <w:t xml:space="preserve">Ukupno povećanje na razini 31  je samo za 20% veće u odnosu na 2024g. jer ga je smanjio manji postotak  ostalih  rashoda za zaposlene.</w:t>
      </w:r>
    </w:p>
    <w:p>
      <w:r>
        <w:t xml:space="preserve">Povećanje se odnosi prvenstveno na povećanje bruto osnovice za plaću u 2025., novo zaposleni djelatnici, matrijalna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861.504,30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1.073.095,03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Povećanje se odnosi prvenstveno na povećanje bruto osnovice za plaću u 2025., novo zaposleni djelatnici, matrijalna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859.709,59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1.073.095,03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</w:tbl>
    <w:p>
      <w:pPr>
        <w:spacing w:before="0" w:after="0"/>
      </w:pPr>
    </w:p>
    <w:p>
      <w:r>
        <w:t xml:space="preserve">Povećanje se odnosi prvenstveno na povećanje bruto osnovice za plaću u 2025., novo zaposleni djelatnici, matrijalna prava zaposlenika.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71.437,57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49.744,35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69,6</w:t>
            </w:r>
          </w:p>
        </w:tc>
      </w:tr>
    </w:tbl>
    <w:p>
      <w:pPr>
        <w:spacing w:before="0" w:after="0"/>
      </w:pPr>
    </w:p>
    <w:p>
      <w:r>
        <w:t xml:space="preserve">Smanjenje  za 30 % odnosi se na manje isplate ostalih rashoda za zaposlene , prvenstveno iz 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145.736,57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177.257,36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121,6</w:t>
            </w:r>
          </w:p>
        </w:tc>
      </w:tr>
    </w:tbl>
    <w:p>
      <w:pPr>
        <w:spacing w:before="0" w:after="0"/>
      </w:pPr>
    </w:p>
    <w:p>
      <w:r>
        <w:t xml:space="preserve">Povećanje postotka  rashoda za doprinose u 2025.g. u odnosu na 2024.g. je rezultat povećanja bruto plaća i ostalih bruto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mirovinsko osiguranje za staž s povećanim trajanjem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114,4</w:t>
            </w:r>
          </w:p>
        </w:tc>
      </w:tr>
    </w:tbl>
    <w:p>
      <w:pPr>
        <w:spacing w:before="0" w:after="0"/>
      </w:pPr>
    </w:p>
    <w:p>
      <w:r>
        <w:t xml:space="preserve">Povećanje se odmnosi na povećanje bruto plaće za invalide s beneficiranim stažem kojima se plaća doprinos za MIO I STUP, i MIO II STUP na bruto plaću.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143.357,18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174.534,60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121,7</w:t>
            </w:r>
          </w:p>
        </w:tc>
      </w:tr>
    </w:tbl>
    <w:p>
      <w:pPr>
        <w:spacing w:before="0" w:after="0"/>
      </w:pPr>
    </w:p>
    <w:p>
      <w:r>
        <w:t xml:space="preserve">Povećanje postotka  rashoda za doprinose u 2025.g. u odnosu na 2024.g. je rezultat povećanja bruto plaća i ostalih bruto naknada.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1.347.510,69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1.114.527,12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82,7</w:t>
            </w:r>
          </w:p>
        </w:tc>
      </w:tr>
    </w:tbl>
    <w:p>
      <w:pPr>
        <w:spacing w:before="0" w:after="0"/>
      </w:pPr>
    </w:p>
    <w:p>
      <w:r>
        <w:t xml:space="preserve">Rashodi  manji  za 22 % na razini skupine 32 u odnosu na 2024.  su rezultat smanjenja  i povećanja na nekim kontima unutar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52.922,21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55.504,98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104,9</w:t>
            </w:r>
          </w:p>
        </w:tc>
      </w:tr>
    </w:tbl>
    <w:p>
      <w:pPr>
        <w:spacing w:before="0" w:after="0"/>
      </w:pPr>
    </w:p>
    <w:p>
      <w:r>
        <w:t xml:space="preserve">Troškovi su približno isti u odnosu na prethodnu godinu -- povećanje je zbog novozaposlenih koji ostvaruju materijalna prava ( regres, uskrsnica,božićnica ) ; rođenja djeteta i sl.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18.570,37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317,1</w:t>
            </w:r>
          </w:p>
        </w:tc>
      </w:tr>
    </w:tbl>
    <w:p>
      <w:pPr>
        <w:spacing w:before="0" w:after="0"/>
      </w:pPr>
    </w:p>
    <w:p>
      <w:r>
        <w:t xml:space="preserve">Veliko povećanje u odnosu na 2024.g. odnosi se na ostvarenje većeg broja službenih putovanja  van Hrvatske i Europe a odnosi se na stručnu arhivističku suranju s drugim srodnim institucijama i međunarodnim udruženjima.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39.657,44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32.142,58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81,1</w:t>
            </w:r>
          </w:p>
        </w:tc>
      </w:tr>
    </w:tbl>
    <w:p>
      <w:pPr>
        <w:spacing w:before="0" w:after="0"/>
      </w:pPr>
    </w:p>
    <w:p>
      <w:r>
        <w:t xml:space="preserve">Rashodi za naknadu za prijevoz su manji u odnosu na 2024.g. -- odlazak zaposlenika - putnika, dugotrajna bolovanja, porodiljni dopust.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7.408,92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4.792,03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64,7</w:t>
            </w:r>
          </w:p>
        </w:tc>
      </w:tr>
    </w:tbl>
    <w:p>
      <w:pPr>
        <w:spacing w:before="0" w:after="0"/>
      </w:pPr>
    </w:p>
    <w:p>
      <w:r>
        <w:t xml:space="preserve">Smanjenje za oko 35% u odnosu na 2024g. -- nijebilo zahteva za odobrenje plaćanja za stučno usavršavanje - školarine  za studije.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85.584,30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100.672,19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Rashodi  veći za 17 % na razini skupine 322 u odnosu na 2024.  su rezultat i povećanja na nekim kontima kao i smanjenja.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27.084,45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27.687,53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102,2</w:t>
            </w:r>
          </w:p>
        </w:tc>
      </w:tr>
    </w:tbl>
    <w:p>
      <w:pPr>
        <w:spacing w:before="0" w:after="0"/>
      </w:pPr>
    </w:p>
    <w:p>
      <w:r>
        <w:t xml:space="preserve">Rashodi su približno na istom nivou ao i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53.090,75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63.848,70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120,3</w:t>
            </w:r>
          </w:p>
        </w:tc>
      </w:tr>
    </w:tbl>
    <w:p>
      <w:pPr>
        <w:spacing w:before="0" w:after="0"/>
      </w:pPr>
    </w:p>
    <w:p>
      <w:r>
        <w:t xml:space="preserve">Rashodi za enenrgiju su za 20-ak posto veći u odnosu na 2024. zbog povećanja utrošene energije i  porasta cijena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2.130,27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3.996,81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187,6</w:t>
            </w:r>
          </w:p>
        </w:tc>
      </w:tr>
    </w:tbl>
    <w:p>
      <w:pPr>
        <w:spacing w:before="0" w:after="0"/>
      </w:pPr>
    </w:p>
    <w:p>
      <w:r>
        <w:t xml:space="preserve">Veći postotak u odnosu na 2024.g. odnosi se na popravak i zamjene rezervnih dijelova i materijala na opremi.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3.278,83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4.137,47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126,2</w:t>
            </w:r>
          </w:p>
        </w:tc>
      </w:tr>
    </w:tbl>
    <w:p>
      <w:pPr>
        <w:spacing w:before="0" w:after="0"/>
      </w:pPr>
    </w:p>
    <w:p>
      <w:r>
        <w:t xml:space="preserve">Povećanje se odnosi na povećanje rashode za održavanje službenog vozila - gume i ostali dijelovi ).; mehanička kolica za prijevoz arhivskih kutija i gradiva -- ručne podizače, pomoćne pokretne  police, uredske stolice i slično.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1.001,68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Troškovi su se dogodili u 2025.g. zbog novozaposlenih i zbog procesa nabave zaštitne opreme( odjeće i obuće)  svake druge  godine zbog zamjene i dotrajalosti iste.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1.193.420,57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947.064,92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79,4</w:t>
            </w:r>
          </w:p>
        </w:tc>
      </w:tr>
    </w:tbl>
    <w:p>
      <w:pPr>
        <w:spacing w:before="0" w:after="0"/>
      </w:pPr>
    </w:p>
    <w:p>
      <w:r>
        <w:t xml:space="preserve">smanjenje postotka za 20% na rashodima za usluge odnosi se prvenstveno na manje ostvarenih troškova na realizaciji  radova na Cjelovitoj energetskoj obnovi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25.719,79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36.753,07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142,9</w:t>
            </w:r>
          </w:p>
        </w:tc>
      </w:tr>
    </w:tbl>
    <w:p>
      <w:pPr>
        <w:spacing w:before="0" w:after="0"/>
      </w:pPr>
    </w:p>
    <w:p>
      <w:r>
        <w:t xml:space="preserve">PČovećanje za 42% u odnosu na prethodnu godinu odnosi se na troškove uvođenja novih tehnologija( informatičke prirode i njihovo održavanje ); optički internet na dvije lokacije, uvođenje elektroničkog evidentranja ulaska i izlaska; alarmni sustavi.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1.034.279,45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731.168,64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70,7</w:t>
            </w:r>
          </w:p>
        </w:tc>
      </w:tr>
    </w:tbl>
    <w:p>
      <w:pPr>
        <w:spacing w:before="0" w:after="0"/>
      </w:pPr>
    </w:p>
    <w:p>
      <w:r>
        <w:t xml:space="preserve">smanjenje postotka za  cca 29% na rashodima za usluge odnosi se prvenstveno na manje ostvarenih troškova na realizaciji  radova na Cjelovitoj energetskoj obnovi zgrade.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13.297,90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28.066,33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211,1</w:t>
            </w:r>
          </w:p>
        </w:tc>
      </w:tr>
    </w:tbl>
    <w:p>
      <w:pPr>
        <w:spacing w:before="0" w:after="0"/>
      </w:pPr>
    </w:p>
    <w:p>
      <w:r>
        <w:t xml:space="preserve">Povećanje za 200% u odnosu na prethodnu godinu odnosi se na usluge promotivnih aktivnosti izložbi i raznih drugih stručnih  izdavačkih usluga vezano za ostvarenje programskih aktivnosti 2025.g.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3.302,09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4.946,04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149,8</w:t>
            </w:r>
          </w:p>
        </w:tc>
      </w:tr>
    </w:tbl>
    <w:p>
      <w:pPr>
        <w:spacing w:before="0" w:after="0"/>
      </w:pPr>
    </w:p>
    <w:p>
      <w:r>
        <w:t xml:space="preserve">Povećanje od 50% odnosi se na povećane usluge odvoza elektroničkog i komunalnog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66.531,38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65.895,51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99,0</w:t>
            </w:r>
          </w:p>
        </w:tc>
      </w:tr>
    </w:tbl>
    <w:p>
      <w:pPr>
        <w:spacing w:before="0" w:after="0"/>
      </w:pPr>
    </w:p>
    <w:p>
      <w:r>
        <w:t xml:space="preserve">Usluge zakupnine i najamnine poslovnog i skladišnog prostora su u razini s prošlom godinom a sve prema ugovorima.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2024.g. nije bilo obveznih sistematskih  zdravstvenih pregleda nego tek u 2025.g. ( svake 2 godine). sredstva su doznačena iz izvora 1.1.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12.365,37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14.361,25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</w:tbl>
    <w:p>
      <w:pPr>
        <w:spacing w:before="0" w:after="0"/>
      </w:pPr>
    </w:p>
    <w:p>
      <w:r>
        <w:t xml:space="preserve">Povećanje od 16% u odnosu na 2024.g. odnosi se na usluge odvjetničkog zastupanja Arhiva.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27.572,60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36.314,52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131,7</w:t>
            </w:r>
          </w:p>
        </w:tc>
      </w:tr>
    </w:tbl>
    <w:p>
      <w:pPr>
        <w:spacing w:before="0" w:after="0"/>
      </w:pPr>
    </w:p>
    <w:p>
      <w:r>
        <w:t xml:space="preserve">Povećanje za 30-tak % u odnosu na 2024.g. odnosi se na povećanje usluga održavanja i ažuriranja programskih aplikacija i hardwera.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10.351,99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242,5</w:t>
            </w:r>
          </w:p>
        </w:tc>
      </w:tr>
    </w:tbl>
    <w:p>
      <w:pPr>
        <w:spacing w:before="0" w:after="0"/>
      </w:pPr>
    </w:p>
    <w:p>
      <w:r>
        <w:t xml:space="preserve">Veliki postotak u odnosu na 2024.g. odnosi se na izvršavanje programske aktivnosti -- izdavačke i izložbene  za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8.554,77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11.285,03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131,9</w:t>
            </w:r>
          </w:p>
        </w:tc>
      </w:tr>
    </w:tbl>
    <w:p>
      <w:pPr>
        <w:spacing w:before="0" w:after="0"/>
      </w:pPr>
    </w:p>
    <w:p>
      <w:r>
        <w:t xml:space="preserve">povećanje za 3o% u odnosu na 2024.g. odnosi se na povećanje pratećih  troškova u realizaciji poslovnih aktivnosti Arhiva u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Odnos troškova  je  isti u obje godine -- police osiguranja  službenog automobila.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4.887,14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160,2</w:t>
            </w:r>
          </w:p>
        </w:tc>
      </w:tr>
    </w:tbl>
    <w:p>
      <w:pPr>
        <w:spacing w:before="0" w:after="0"/>
      </w:pPr>
    </w:p>
    <w:p>
      <w:r>
        <w:t xml:space="preserve">povećanje za 6o% troškova u odnosu na 2024.g. odnosi se dijelom na trošak 12/24, te nastavno na  troškove prilikom održavanja izložbi, stručnih skupova i susreta s pslovnim partnerima, službeni domjenak .Plaćeno sredstvima iz vlastitih izvora.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Članarine i norme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797,4</w:t>
            </w:r>
          </w:p>
        </w:tc>
      </w:tr>
    </w:tbl>
    <w:p>
      <w:pPr>
        <w:spacing w:before="0" w:after="0"/>
      </w:pPr>
    </w:p>
    <w:p>
      <w:r>
        <w:t xml:space="preserve">Veliko povećanje članarina u odnosu na 2024.g. odnosi na dvije međunarodne članarine arhivističkih udruženja za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20,0</w:t>
            </w:r>
          </w:p>
        </w:tc>
      </w:tr>
    </w:tbl>
    <w:p>
      <w:pPr>
        <w:spacing w:before="0" w:after="0"/>
      </w:pPr>
    </w:p>
    <w:p>
      <w:r>
        <w:t xml:space="preserve">smanjenje troškova pristojbi i naknada u 2025.g.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2.447,93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4.542,71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185,6</w:t>
            </w:r>
          </w:p>
        </w:tc>
      </w:tr>
    </w:tbl>
    <w:p>
      <w:pPr>
        <w:spacing w:before="0" w:after="0"/>
      </w:pPr>
    </w:p>
    <w:p>
      <w:r>
        <w:t xml:space="preserve">povećanje za 85% u odnosu na 2024.g. odnosi se na povećanje pratećih  troškova u realizaciji poslovnih aktivnosti Arhiva u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8.468,19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27,8</w:t>
            </w:r>
          </w:p>
        </w:tc>
      </w:tr>
    </w:tbl>
    <w:p>
      <w:pPr>
        <w:spacing w:before="0" w:after="0"/>
      </w:pPr>
    </w:p>
    <w:p>
      <w:r>
        <w:t xml:space="preserve">Veliko smanjenje financijskih rashoda u odnosu na 2024.g. odnosi se na završetak plaćanja kamata za isplate plaća po sudskim presudama. U 2025.g. bila je samo jedna presuda.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8.468,19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2.355,17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27,8</w:t>
            </w:r>
          </w:p>
        </w:tc>
      </w:tr>
    </w:tbl>
    <w:p>
      <w:pPr>
        <w:spacing w:before="0" w:after="0"/>
      </w:pPr>
    </w:p>
    <w:p>
      <w:r>
        <w:t xml:space="preserve">Smanje ukupnih financijskih rashoda je za 70% manei od prethodne godine jer u 2025. nije bilo zateznih kamata po većem broju  isplata plaća po sudskim presudama( osim jedne 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1.903,20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1.965,78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103,3</w:t>
            </w:r>
          </w:p>
        </w:tc>
      </w:tr>
    </w:tbl>
    <w:p>
      <w:pPr>
        <w:spacing w:before="0" w:after="0"/>
      </w:pPr>
    </w:p>
    <w:p>
      <w:r>
        <w:t xml:space="preserve">Naknade za poslove platnog prometa kreću se u okviru  približno iste vrijednosti kao i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5,9</w:t>
            </w:r>
          </w:p>
        </w:tc>
      </w:tr>
    </w:tbl>
    <w:p>
      <w:pPr>
        <w:spacing w:before="0" w:after="0"/>
      </w:pPr>
    </w:p>
    <w:p>
      <w:r>
        <w:t xml:space="preserve">U 2025.g. su isplaćena sredstva zateznih kamata   za samo jednu plaću po sudskoj presudi.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2.434.657,32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2.416.979,03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99,3</w:t>
            </w:r>
          </w:p>
        </w:tc>
      </w:tr>
    </w:tbl>
    <w:p>
      <w:pPr>
        <w:spacing w:before="0" w:after="0"/>
      </w:pPr>
    </w:p>
    <w:p>
      <w:r>
        <w:t xml:space="preserve">Ukupni rashodi su  skoro isti  kao i prethodne godine -- iznivelirani troškovi po kontima.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121.097,31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1.286.506,11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1062,4</w:t>
            </w:r>
          </w:p>
        </w:tc>
      </w:tr>
    </w:tbl>
    <w:p>
      <w:pPr>
        <w:spacing w:before="0" w:after="0"/>
      </w:pPr>
    </w:p>
    <w:p>
      <w:r>
        <w:t xml:space="preserve">Veliki višak poslovanja odnosi se na sredstva  doznačena po Avansu za podmirivanje troškova po situacijama Cjelovite energetske obnove , a koja su  preostala za kontinuirano podmirivanje idućih građ.i ostalih privremenih situacija, te manji dio ostvarenih prihoda od vlastite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216.543,38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254.643,19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Povećanje od 17% odnosi se na ukupan akumulirani prihod ostvaren obavljanjem usluga vlastite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Povećnje od 18% u odnosu na 2024. nenaplaćenih prihoda od vlastite djelatnosti odnosi se na još neplaćene usluge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Povećnje od 18% u odnosu na 2024. nenaplaćenih prihoda od vlastite djelatnosti odnosi se na još neplaćene usluge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85.612,03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19.984,70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23,3</w:t>
            </w:r>
          </w:p>
        </w:tc>
      </w:tr>
    </w:tbl>
    <w:p>
      <w:pPr>
        <w:spacing w:before="0" w:after="0"/>
      </w:pPr>
    </w:p>
    <w:p>
      <w:r>
        <w:t xml:space="preserve">Smanjenje rashoda za nabavu nefinancijske ugotrajne imovine u odnosu na 2024.g. rezultat je što u 2025.g. nije bilo donacije nefinancijske imovine, kao niti prenamjene programskih djelatnosti --iz "ostale usluge" u program informatizacije, nego samo odobreni iznos za 2025.g. za program informatizacije iz izvira 1.1. (19.524,00 eura ) te 460,70 eura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85.279,19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23,1</w:t>
            </w:r>
          </w:p>
        </w:tc>
      </w:tr>
    </w:tbl>
    <w:p>
      <w:pPr>
        <w:spacing w:before="0" w:after="0"/>
      </w:pPr>
    </w:p>
    <w:p>
      <w:r>
        <w:t xml:space="preserve">manjenje rashoda za nabavu nefinancijske ugotrajne imovine u odnosu na 2024.g. rezultat je što u 2025.g. nije bilo donacije nefinancijske imovine, kao niti prenamjene programskih djelatnosti --iz "ostale usluge" u program informatizacije, nego samo odobreni iznos za 2025.g. za program informatizacije iz izvira 1.1. (19.524,00 eura ) te 166,70 eura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85.279,19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23,1</w:t>
            </w:r>
          </w:p>
        </w:tc>
      </w:tr>
    </w:tbl>
    <w:p>
      <w:pPr>
        <w:spacing w:before="0" w:after="0"/>
      </w:pPr>
    </w:p>
    <w:p>
      <w:r>
        <w:t xml:space="preserve">manjenje rashoda za nabavu nefinancijske ugotrajne imovine u odnosu na 2024.g. rezultat je što u 2025.g. nije bilo donacije nefinancijske imovine, kao niti prenamjene programskih djelatnosti --iz "ostale usluge" u program informatizacije, nego samo odobreni iznos za 2025.g. za program informatizacije iz izvira 1.1. (19.524,00 eura ) te 166,70 eura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85.279,19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19.690,70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23,1</w:t>
            </w:r>
          </w:p>
        </w:tc>
      </w:tr>
    </w:tbl>
    <w:p>
      <w:pPr>
        <w:spacing w:before="0" w:after="0"/>
      </w:pPr>
    </w:p>
    <w:p>
      <w:r>
        <w:t xml:space="preserve">manjenje rashoda za nabavu nefinancijske ugotrajne imovine u odnosu na 2024.g. rezultat je što u 2025.g. nije bilo donacije nefinancijske imovine, kao niti prenamjene programskih djelatnosti --iz "ostale usluge" u program informatizacije, nego samo odobreni iznos za 2025.g. za program informatizacije iz izvira 1.1. (19.524,00 eura ) te 166,70 eura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plemenitih metala i ostalih pohranjenih vrijednosti (šifra 431)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88,3</w:t>
            </w:r>
          </w:p>
        </w:tc>
      </w:tr>
    </w:tbl>
    <w:p>
      <w:pPr>
        <w:spacing w:before="0" w:after="0"/>
      </w:pPr>
    </w:p>
    <w:p>
      <w:r>
        <w:t xml:space="preserve">Smanjenje za 10-tak % u odnosu na 2024.g. je rezultat samo jednog troška - kupnje arhivskih knjiga u iznosu od 294,00 eura -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Plemeniti metali i ostale pohranjene vrijednosti (šifre 4311+4312)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88,3</w:t>
            </w:r>
          </w:p>
        </w:tc>
      </w:tr>
    </w:tbl>
    <w:p>
      <w:pPr>
        <w:spacing w:before="0" w:after="0"/>
      </w:pPr>
    </w:p>
    <w:p>
      <w:r>
        <w:t xml:space="preserve">Smanjenje za 10-tak % u odnosu na 2024.g. je rezultat samo jednog troška - kupnje arhivskih knjiga u iznosu od 294,00 eura -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Pohranjene knjige, umjetnička djela i slične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88,3</w:t>
            </w:r>
          </w:p>
        </w:tc>
      </w:tr>
    </w:tbl>
    <w:p>
      <w:pPr>
        <w:spacing w:before="0" w:after="0"/>
      </w:pPr>
    </w:p>
    <w:p>
      <w:r>
        <w:t xml:space="preserve">Smanjenje za 10-tak % u odnosu na 2024.g. je rezultat samo jednog troška - kupnje arhivskih knjiga u iznosu od 294,00 eura - podmireno iz vlastitih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85.612,03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19.984,70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23,3</w:t>
            </w:r>
          </w:p>
        </w:tc>
      </w:tr>
    </w:tbl>
    <w:p>
      <w:pPr>
        <w:spacing w:before="0" w:after="0"/>
      </w:pPr>
    </w:p>
    <w:p>
      <w:r>
        <w:t xml:space="preserve">Manjak prihoda  za nabavu nefinancijske ugotrajne imovine u odnosu na 2024.g. rezultat je što u 2025.g. nije bilo donacije nefinancijske imovine, kao niti prenamjene programskih djelatnosti --iz "ostale usluge" u program informatizacije, nego samo odobreni iznos za 2025.g. za program informatizacije iz izvora 1.1. (19.524,00 eura ) te 460,70 eura podmireno iz vlastitih sredstava.</w:t>
      </w:r>
    </w:p>
    <w:p>
      <w:r>
        <w:t xml:space="preserve">Korekcijom rezultata podmiren je manjak od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(šifre 6+7)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2.555.754,63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3.703.485,14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</w:tbl>
    <w:p>
      <w:pPr>
        <w:spacing w:before="0" w:after="0"/>
      </w:pPr>
    </w:p>
    <w:p>
      <w:r>
        <w:t xml:space="preserve">Prihodi su veći  50% u odnosu na prethodnu godinu jer je u 2025.g. započela 2.faza Cjelovita energetska  obnova zgrade Arhiva, te su doznačena sredstva Avansa - kapitalni prijenosi sredstva između proračunskih korisnika istog proračuna temeljem prijenosa EU sredstava - program NPOO - Cjelovita energetska obnova zgrade Arhiva nakon potresa.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(šifre Z005+4)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2.520.269,35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2.436.963,73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r>
        <w:t xml:space="preserve">Ukupni rashodi  manji za oko 3,50%  su  skoro isti  kao i prethodne godine -- iznivelirani troškovima po  analitičkim kontima.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VIŠAK PRIHODA (šifre X067-Y034)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35.485,28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1.266.521,41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3569,1</w:t>
            </w:r>
          </w:p>
        </w:tc>
      </w:tr>
    </w:tbl>
    <w:p>
      <w:pPr>
        <w:spacing w:before="0" w:after="0"/>
      </w:pPr>
    </w:p>
    <w:p>
      <w:r>
        <w:t xml:space="preserve">Ogroman postotak ukupnog viška prihoda u odnosu na 2024.g. rezultat je ostatak iznosa doznačenog Avansa po ugovoru za provedbu 2.faze Cjelovite enenrgetske obnove zgrade Arhiva., a za nastavak podmirivanja idućih privremenih stuacija radova na Cjelovitoj obnovi zgrade Arhiva.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 9222x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- preneseni (šifre 92211+92212-92221-92222)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9221x,9222x VP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216.543,38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254.643,19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Povećanje od 17% odnosi se na ukupan akumulirani prihod ostvaren obavljanjem usluga vlastite djelatnosti.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3.840,04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4.562,37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Povećnje od 18% u odnosu na 2024. nenaplaćenih prihoda od vlastite djelatnosti odnosi se na još neplaćene usluge korisnika.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PRIHODI I PRIMICI (šifre X067+8)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X678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2.555.754,63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3.703.485,14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144,9</w:t>
            </w:r>
          </w:p>
        </w:tc>
      </w:tr>
    </w:tbl>
    <w:p>
      <w:pPr>
        <w:spacing w:before="0" w:after="0"/>
      </w:pPr>
    </w:p>
    <w:p>
      <w:r>
        <w:t xml:space="preserve">Prihodi i primici  su veći  50% u odnosu na prethodnu godinu jer je u 2025.g. započela 2.faza Cjelovita energetska  obnova zgrade Arhiva, te su doznačena sredstva Avansa - kapitalni prijenosi sredstva između proračunskih korisnika istog proračuna temeljem prijenosa EU sredstava - program NPOO - Cjelovita energetska obnova zgrade Arhiva nakon potresa.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I IZDACI (šifre Y034+5)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Y345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2.520.269,35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2.436.963,73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96,7</w:t>
            </w:r>
          </w:p>
        </w:tc>
      </w:tr>
    </w:tbl>
    <w:p>
      <w:pPr>
        <w:spacing w:before="0" w:after="0"/>
      </w:pPr>
    </w:p>
    <w:p>
      <w:r>
        <w:t xml:space="preserve">Ukupni rshodi i izdaci su približno isti kao i u prethodnoj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35.485,28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1.266.521,41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3569,1</w:t>
            </w:r>
          </w:p>
        </w:tc>
      </w:tr>
    </w:tbl>
    <w:p>
      <w:pPr>
        <w:spacing w:before="0" w:after="0"/>
      </w:pPr>
    </w:p>
    <w:p>
      <w:r>
        <w:t xml:space="preserve">Višak se odnosi na ostatak neutrošenih sredstava za 2.fazu -Cjelovita energetska obnova zgrade nakon potresa kojim će se pčodmirivati nove obveze po situacijama u 2026.g.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- preneseni (šifre '9221x,9222x VP' - '9221x,9222x MP' + 92213 - 92223)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9221-9222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216.543,38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254.643,19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117,6</w:t>
            </w:r>
          </w:p>
        </w:tc>
      </w:tr>
    </w:tbl>
    <w:p>
      <w:pPr>
        <w:spacing w:before="0" w:after="0"/>
      </w:pPr>
    </w:p>
    <w:p>
      <w:r>
        <w:t xml:space="preserve">Akumulirana vlastita sredstva.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i primitaka raspoloživ u sljedećem razdoblju (šifre X005 + '9221-9222' - Y005 - '9222-9221')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X006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252.028,66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1.521.164,60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603,6</w:t>
            </w:r>
          </w:p>
        </w:tc>
      </w:tr>
    </w:tbl>
    <w:p>
      <w:pPr>
        <w:spacing w:before="0" w:after="0"/>
      </w:pPr>
    </w:p>
    <w:p>
      <w:r>
        <w:t xml:space="preserve">Višak se odnosi na ostatak iznosa doznačenog po Avansu za Cjelovitu energetsku obnovu zgrade Arhiva i akumulirana  vlastita sredstva i sredstva izvor 4.3. u iznosu od 4.800,00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201.610,92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249.675,05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Povećanje stanja novčanih sredstava za 2025.g. -- ostvareni vlastiti izvori  i izvor 4.3. u iznosu od 4.800,00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2.537.637,82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3.731.554,66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147,0</w:t>
            </w:r>
          </w:p>
        </w:tc>
      </w:tr>
    </w:tbl>
    <w:p>
      <w:pPr>
        <w:spacing w:before="0" w:after="0"/>
      </w:pPr>
    </w:p>
    <w:p>
      <w:r>
        <w:t xml:space="preserve">Povećanje u 2025. za doznačena sredstva Avansa - kapitalni prijenosi sredstava između proračunskih korisnika istog proračuna temeljem prijenosa nepovratnih EU sredstava za provedbu programa NPOO - 2.faza Cjelovite energetske obnove zgrade Arhiva.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2.489.573,69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2.340.044,54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94,0</w:t>
            </w:r>
          </w:p>
        </w:tc>
      </w:tr>
    </w:tbl>
    <w:p>
      <w:pPr>
        <w:spacing w:before="0" w:after="0"/>
      </w:pPr>
    </w:p>
    <w:p>
      <w:r>
        <w:t xml:space="preserve">manji postotak odljeva sredstava sa žiro računa u odnosu na 2024.g. razlog je što je tek 29.12.2025. doznačen Avans za provedbu aktivnosti za plaćanje troškova radova Cjelovite energetske obnove zgrade Arhiva.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249.675,05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1.641.185,17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657,3</w:t>
            </w:r>
          </w:p>
        </w:tc>
      </w:tr>
    </w:tbl>
    <w:p>
      <w:pPr>
        <w:spacing w:before="0" w:after="0"/>
      </w:pPr>
    </w:p>
    <w:p>
      <w:r>
        <w:t xml:space="preserve">Velik postotak  stanja novčanih sredstava na kraju izvještajnog razdoblja u odnosu na 2024.g. rezultat je neutrošenog iznosa po doznačenom Avansu za realizaciju aktivnosti za Cjelovitu energetsku obnovu zgrade Arhiva.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HZMO-a, HZZ-a i HZZO-a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20.920,92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Završena je i iskorištena mjera HZZ - pripravnik. Sredstva su utrošena za podmirivanje plaće za pripravnika.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6.399,23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34,5</w:t>
            </w:r>
          </w:p>
        </w:tc>
      </w:tr>
    </w:tbl>
    <w:p>
      <w:pPr>
        <w:spacing w:before="0" w:after="0"/>
      </w:pPr>
    </w:p>
    <w:p>
      <w:r>
        <w:t xml:space="preserve">U ovoj godini 2025.-toj bilo je manje otpremnina  ( dvije 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3.491,05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63,2</w:t>
            </w:r>
          </w:p>
        </w:tc>
      </w:tr>
    </w:tbl>
    <w:p>
      <w:pPr>
        <w:spacing w:before="0" w:after="0"/>
      </w:pPr>
    </w:p>
    <w:p>
      <w:r>
        <w:t xml:space="preserve">Bilo je u 2025.g. manje naknada za bolest,invalidnost te smrt članova ovitelji u odnosu na utrošeno u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 na posao i s posla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39.657,44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32.142,58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81,1</w:t>
            </w:r>
          </w:p>
        </w:tc>
      </w:tr>
    </w:tbl>
    <w:p>
      <w:pPr>
        <w:spacing w:before="0" w:after="0"/>
      </w:pPr>
    </w:p>
    <w:p>
      <w:r>
        <w:t xml:space="preserve">Manji troškovi za prijevoz zaposlenika -- otišli putnici zaposlenici, bolovanja, i porodiljni dopusti.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4.459,56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Trošak obveznog preventivnog zdravstvenog sisitematskog pregleda zaposlenika odvijase svake dvije godine a prema potrebitim zaposlenicima. u 2024.g. nije bilo tih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agencija, studentskog servisa (prijepisi, prijevodi i drugo)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11.018,30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3.362,50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30,5</w:t>
            </w:r>
          </w:p>
        </w:tc>
      </w:tr>
    </w:tbl>
    <w:p>
      <w:pPr>
        <w:spacing w:before="0" w:after="0"/>
      </w:pPr>
    </w:p>
    <w:p>
      <w:r>
        <w:t xml:space="preserve">Manje naknada za troškove agencija, odvjetničkih usluga i sl. u odnosu na 2025.g.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Nema dospjelih obveza na kraju izvještajnog razdoblja. Nepodmirene obveze odnose se na nedospjele obveze za plaći za 12/25, materijalna prava 12/25, te nedospjelih obveza za materijalne rashode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95.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razlika u velikom postotku doznačenih sredstava ( prijenosi između proračunskih korisnika istog proračuna temeljem prijenosa nepovratnih Eu sredstava za program NPOO - Cjelovita energetska obnova zgrade Arhiva nakon potresa. U prethodnom razdoblju - 2024.g. doznačena su sredstva bila za završetak 1.faze Cjelovite konstrukcijske obnove, a u 2025. je započeta 2.faza Cjelovite energetske obnove zgrade Arhiva te uplaćen Avans po ugovoru.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6ab2fa52ce46cf" /></Relationships>
</file>